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09.02.2023 N 298-р</w:t>
              <w:br/>
              <w:t xml:space="preserve">&lt;Об утверждении распределения субсидий, предоставляемых в 2023 году из федерального бюджета бюджетам субъектов Российской Федерации в целях софинансирования расходных обязательств, возникающих при осуществлении государственной поддержки региональных программ по проектированию туристского кода центра города&gt;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9 февраля 2023 г. N 298-р</w:t>
      </w:r>
    </w:p>
    <w:p>
      <w:pPr>
        <w:pStyle w:val="0"/>
        <w:jc w:val="both"/>
      </w:pPr>
      <w:r>
        <w:rPr>
          <w:sz w:val="20"/>
        </w:rPr>
      </w:r>
    </w:p>
    <w:bookmarkStart w:id="6" w:name="P6"/>
    <w:bookmarkEnd w:id="6"/>
    <w:p>
      <w:pPr>
        <w:pStyle w:val="0"/>
        <w:ind w:firstLine="540"/>
        <w:jc w:val="both"/>
      </w:pPr>
      <w:r>
        <w:rPr>
          <w:sz w:val="20"/>
        </w:rPr>
        <w:t xml:space="preserve">1. В соответствии с </w:t>
      </w:r>
      <w:hyperlink w:history="0" r:id="rId7" w:tooltip="Федеральный закон от 05.12.2022 N 466-ФЗ &quot;О федеральном бюджете на 2023 год и на плановый период 2024 и 2025 годов&quot; {КонсультантПлюс}">
        <w:r>
          <w:rPr>
            <w:sz w:val="20"/>
            <w:color w:val="0000ff"/>
          </w:rPr>
          <w:t xml:space="preserve">пунктом 46 части 1 статьи 21</w:t>
        </w:r>
      </w:hyperlink>
      <w:r>
        <w:rPr>
          <w:sz w:val="20"/>
        </w:rPr>
        <w:t xml:space="preserve"> Федерального закона "О федеральном бюджете на 2023 год и на плановый период 2024 и 2025 годов" направить в 2023 году Минэкономразвития России бюджетные ассигнования в размере 6079000 тыс. рублей, предусмотренные Минфину России по подразделу "Другие вопросы в области национальной экономики" раздела "Национальная экономика" классификации расходов бюджетов на реализацию мероприятий федерального </w:t>
      </w:r>
      <w:hyperlink w:history="0" r:id="rId8" w:tooltip="&quot;Паспорт федерального проекта &quot;Развитие туристической инфраструктуры&quot; (утв. Ростуризмом) {КонсультантПлюс}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"Развитие туристической инфраструктуры" в рамках государственной </w:t>
      </w:r>
      <w:hyperlink w:history="0" r:id="rId9" w:tooltip="Постановление Правительства РФ от 24.12.2021 N 2439 (ред. от 26.12.2022) &quot;Об утверждении государственной программы Российской Федерации &quot;Развитие туризма&quot; (с изм. и доп., вступ. в силу с 01.01.2023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Российской Федерации "Развитие туризма", на предоставление </w:t>
      </w:r>
      <w:hyperlink w:history="0" r:id="rId10" w:tooltip="Постановление Правительства РФ от 30.12.2021 N 2581 (ред. от 26.12.2022) &quot;Об утверждении Правил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егиональных программ по проектированию туристского кода центра города&quot; {КонсультантПлюс}">
        <w:r>
          <w:rPr>
            <w:sz w:val="20"/>
            <w:color w:val="0000ff"/>
          </w:rPr>
          <w:t xml:space="preserve">субсидий</w:t>
        </w:r>
      </w:hyperlink>
      <w:r>
        <w:rPr>
          <w:sz w:val="20"/>
        </w:rPr>
        <w:t xml:space="preserve">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осуществлении государственной поддержки региональных программ по проектированию туристского кода центра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23" w:tooltip="РАСПРЕДЕЛЕНИЕ">
        <w:r>
          <w:rPr>
            <w:sz w:val="20"/>
            <w:color w:val="0000ff"/>
          </w:rPr>
          <w:t xml:space="preserve">распределение</w:t>
        </w:r>
      </w:hyperlink>
      <w:r>
        <w:rPr>
          <w:sz w:val="20"/>
        </w:rPr>
        <w:t xml:space="preserve"> субсидий, предоставляемых в 2023 году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осуществлении государственной поддержки региональных программ по проектированию туристского кода центра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Минэкономразвития России заключить соглашения о предоставлении бюджетам субъектов Российской Федерации субсидий из федерального бюджета, указанных в </w:t>
      </w:r>
      <w:hyperlink w:history="0" w:anchor="P6" w:tooltip="1. В соответствии с пунктом 46 части 1 статьи 21 Федерального закона &quot;О федеральном бюджете на 2023 год и на плановый период 2024 и 2025 годов&quot; направить в 2023 году Минэкономразвития России бюджетные ассигнования в размере 6079000 тыс. рублей, предусмотренные Минфину России по подразделу &quot;Другие вопросы в области национальной экономики&quot; раздела &quot;Национальная экономика&quot; классификации расходов бюджетов на реализацию мероприятий федерального проекта &quot;Развитие туристической инфраструктуры&quot; в рамках государ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распоряжения, не позднее 20-го рабочего дня со дня вступления в силу настоящего распоряжения.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9 февраля 2023 г. N 298-р</w:t>
      </w:r>
    </w:p>
    <w:p>
      <w:pPr>
        <w:pStyle w:val="0"/>
        <w:jc w:val="both"/>
      </w:pPr>
      <w:r>
        <w:rPr>
          <w:sz w:val="20"/>
        </w:rPr>
      </w:r>
    </w:p>
    <w:bookmarkStart w:id="23" w:name="P23"/>
    <w:bookmarkEnd w:id="23"/>
    <w:p>
      <w:pPr>
        <w:pStyle w:val="2"/>
        <w:jc w:val="center"/>
      </w:pPr>
      <w:r>
        <w:rPr>
          <w:sz w:val="20"/>
        </w:rPr>
        <w:t xml:space="preserve">РАСПРЕДЕЛЕНИЕ</w:t>
      </w:r>
    </w:p>
    <w:p>
      <w:pPr>
        <w:pStyle w:val="2"/>
        <w:jc w:val="center"/>
      </w:pPr>
      <w:r>
        <w:rPr>
          <w:sz w:val="20"/>
        </w:rPr>
        <w:t xml:space="preserve">СУБСИДИЙ, ПРЕДОСТАВЛЯЕМЫХ В 2023 ГОДУ ИЗ ФЕДЕРАЛЬНОГО</w:t>
      </w:r>
    </w:p>
    <w:p>
      <w:pPr>
        <w:pStyle w:val="2"/>
        <w:jc w:val="center"/>
      </w:pPr>
      <w:r>
        <w:rPr>
          <w:sz w:val="20"/>
        </w:rPr>
        <w:t xml:space="preserve">БЮДЖЕТА БЮДЖЕТАМ СУБЪЕКТОВ РОССИЙСКОЙ ФЕДЕРАЦИИ В ЦЕЛЯХ</w:t>
      </w:r>
    </w:p>
    <w:p>
      <w:pPr>
        <w:pStyle w:val="2"/>
        <w:jc w:val="center"/>
      </w:pPr>
      <w:r>
        <w:rPr>
          <w:sz w:val="20"/>
        </w:rPr>
        <w:t xml:space="preserve">СОФИНАНСИРОВАНИЯ РАСХОДНЫХ ОБЯЗАТЕЛЬСТВ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ВОЗНИКАЮЩИХ ПРИ ОСУЩЕСТВЛЕНИИ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ПОДДЕРЖКИ РЕГИОНАЛЬНЫХ ПРОГРАММ</w:t>
      </w:r>
    </w:p>
    <w:p>
      <w:pPr>
        <w:pStyle w:val="2"/>
        <w:jc w:val="center"/>
      </w:pPr>
      <w:r>
        <w:rPr>
          <w:sz w:val="20"/>
        </w:rPr>
        <w:t xml:space="preserve">ПО ПРОЕКТИРОВАНИЮ ТУРИСТСКОГО КОДА ЦЕНТРА ГОРОДА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(тыс. рублей)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3401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5669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3401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субсидии</w:t>
            </w:r>
          </w:p>
        </w:tc>
      </w:tr>
      <w:tr>
        <w:tc>
          <w:tcPr>
            <w:tcW w:w="5669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  <w:tc>
          <w:tcPr>
            <w:tcW w:w="3401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208810,9</w:t>
            </w:r>
          </w:p>
        </w:tc>
      </w:tr>
      <w:t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213072,3</w:t>
            </w:r>
          </w:p>
        </w:tc>
      </w:tr>
      <w:t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Дагестан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250000</w:t>
            </w:r>
          </w:p>
        </w:tc>
      </w:tr>
      <w:t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215000</w:t>
            </w:r>
          </w:p>
        </w:tc>
      </w:tr>
      <w:t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371046,2</w:t>
            </w:r>
          </w:p>
        </w:tc>
      </w:tr>
      <w:t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308569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195021,3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213072,3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485724,2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200374,9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Калининградская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210898,1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Липецкая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206549,7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338232,9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225611,9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Орловская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215000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Псковская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130205,2</w:t>
            </w:r>
          </w:p>
        </w:tc>
      </w:tr>
      <w:tr>
        <w:tc>
          <w:tcPr>
            <w:tcW w:w="566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340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22713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407881,3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186981,8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219500,9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Смоленская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187653,8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455470,7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208723,9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402885,7</w:t>
            </w:r>
          </w:p>
        </w:tc>
      </w:tr>
      <w:tr>
        <w:tc>
          <w:tcPr>
            <w:tcW w:w="5669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340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6079000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09.02.2023 N 298-р</w:t>
            <w:br/>
            <w:t>&lt;Об утверждении распределения субсидий, предоставляемых в 2023 году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E1FCE3852DCD4D99983C5A79A1DD9273C755540EC984C257D9EDE24EEA580584CEAA959B714CA522D2F4F9343C8E133756938F6258C348145G4I" TargetMode = "External"/>
	<Relationship Id="rId8" Type="http://schemas.openxmlformats.org/officeDocument/2006/relationships/hyperlink" Target="consultantplus://offline/ref=3E1FCE3852DCD4D99983C5A79A1DD9273B725642E0944C257D9EDE24EEA580585EEAF155B717D6542C3A19C20549GEI" TargetMode = "External"/>
	<Relationship Id="rId9" Type="http://schemas.openxmlformats.org/officeDocument/2006/relationships/hyperlink" Target="consultantplus://offline/ref=3E1FCE3852DCD4D99983C5A79A1DD9273C755345E2924C257D9EDE24EEA580584CEAA959B714C855282F4F9343C8E133756938F6258C348145G4I" TargetMode = "External"/>
	<Relationship Id="rId10" Type="http://schemas.openxmlformats.org/officeDocument/2006/relationships/hyperlink" Target="consultantplus://offline/ref=3E1FCE3852DCD4D99983C5A79A1DD9273C755344E4924C257D9EDE24EEA580584CEAA959B714C8512B2F4F9343C8E133756938F6258C348145G4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09.02.2023 N 298-р
&lt;Об утверждении распределения субсидий, предоставляемых в 2023 году из федерального бюджета бюджетам субъектов Российской Федерации в целях софинансирования расходных обязательств, возникающих при осуществлении государственной поддержки региональных программ по проектированию туристского кода центра города&gt;</dc:title>
  <dcterms:created xsi:type="dcterms:W3CDTF">2023-04-03T08:06:55Z</dcterms:created>
</cp:coreProperties>
</file>