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0E" w:rsidRPr="00A438D2" w:rsidRDefault="0029600E" w:rsidP="0029600E">
      <w:pPr>
        <w:spacing w:after="0" w:line="240" w:lineRule="auto"/>
        <w:ind w:left="71" w:right="14" w:firstLine="701"/>
        <w:jc w:val="right"/>
        <w:rPr>
          <w:sz w:val="24"/>
          <w:szCs w:val="24"/>
        </w:rPr>
      </w:pPr>
      <w:r w:rsidRPr="00A438D2">
        <w:rPr>
          <w:sz w:val="24"/>
          <w:szCs w:val="24"/>
        </w:rPr>
        <w:t xml:space="preserve">Утвержден </w:t>
      </w:r>
    </w:p>
    <w:p w:rsidR="0029600E" w:rsidRPr="00A438D2" w:rsidRDefault="0029600E" w:rsidP="0029600E">
      <w:pPr>
        <w:spacing w:after="0" w:line="240" w:lineRule="auto"/>
        <w:ind w:left="71" w:right="14" w:firstLine="701"/>
        <w:jc w:val="right"/>
        <w:rPr>
          <w:sz w:val="24"/>
          <w:szCs w:val="24"/>
        </w:rPr>
      </w:pPr>
      <w:r w:rsidRPr="00A438D2">
        <w:rPr>
          <w:sz w:val="24"/>
          <w:szCs w:val="24"/>
        </w:rPr>
        <w:t xml:space="preserve">Приказом Министерства инвестиционной политики </w:t>
      </w:r>
    </w:p>
    <w:p w:rsidR="0029600E" w:rsidRPr="00A438D2" w:rsidRDefault="0029600E" w:rsidP="0029600E">
      <w:pPr>
        <w:spacing w:after="0" w:line="240" w:lineRule="auto"/>
        <w:ind w:left="71" w:right="14" w:firstLine="701"/>
        <w:jc w:val="right"/>
        <w:rPr>
          <w:sz w:val="24"/>
          <w:szCs w:val="24"/>
        </w:rPr>
      </w:pPr>
      <w:r w:rsidRPr="00A438D2">
        <w:rPr>
          <w:sz w:val="24"/>
          <w:szCs w:val="24"/>
        </w:rPr>
        <w:t xml:space="preserve">Новгородской области </w:t>
      </w:r>
    </w:p>
    <w:p w:rsidR="0029600E" w:rsidRDefault="00C23332" w:rsidP="0029600E">
      <w:pPr>
        <w:spacing w:after="0" w:line="240" w:lineRule="auto"/>
        <w:ind w:left="71" w:right="14" w:firstLine="701"/>
        <w:jc w:val="right"/>
      </w:pPr>
      <w:r>
        <w:rPr>
          <w:sz w:val="24"/>
          <w:szCs w:val="24"/>
        </w:rPr>
        <w:t>от 22 ноября 2018г. № 1904/1</w:t>
      </w:r>
    </w:p>
    <w:p w:rsidR="0029600E" w:rsidRDefault="0029600E" w:rsidP="0029600E">
      <w:pPr>
        <w:spacing w:after="0" w:line="240" w:lineRule="auto"/>
        <w:ind w:left="71" w:right="14" w:firstLine="701"/>
        <w:jc w:val="right"/>
      </w:pPr>
    </w:p>
    <w:p w:rsidR="0029600E" w:rsidRDefault="0029600E" w:rsidP="0029600E">
      <w:pPr>
        <w:spacing w:after="0" w:line="240" w:lineRule="auto"/>
        <w:ind w:left="71" w:right="14" w:firstLine="701"/>
        <w:jc w:val="right"/>
      </w:pPr>
    </w:p>
    <w:p w:rsidR="0029600E" w:rsidRPr="0029600E" w:rsidRDefault="0029600E" w:rsidP="0029600E">
      <w:pPr>
        <w:spacing w:after="0"/>
        <w:jc w:val="center"/>
        <w:rPr>
          <w:bCs/>
          <w:szCs w:val="28"/>
        </w:rPr>
      </w:pPr>
      <w:r w:rsidRPr="0029600E">
        <w:rPr>
          <w:bCs/>
          <w:szCs w:val="28"/>
        </w:rPr>
        <w:t>План</w:t>
      </w:r>
    </w:p>
    <w:p w:rsidR="00C23332" w:rsidRDefault="0029600E" w:rsidP="0029600E">
      <w:pPr>
        <w:spacing w:after="0"/>
        <w:jc w:val="center"/>
        <w:rPr>
          <w:bCs/>
          <w:szCs w:val="28"/>
        </w:rPr>
      </w:pPr>
      <w:r w:rsidRPr="0029600E">
        <w:rPr>
          <w:bCs/>
          <w:szCs w:val="28"/>
        </w:rPr>
        <w:t xml:space="preserve">мероприятий ведомственного контроля в сфере закупок для обеспечения нужд </w:t>
      </w:r>
    </w:p>
    <w:p w:rsidR="0029600E" w:rsidRPr="0029600E" w:rsidRDefault="0029600E" w:rsidP="0029600E">
      <w:pPr>
        <w:spacing w:after="0"/>
        <w:jc w:val="center"/>
        <w:rPr>
          <w:bCs/>
          <w:szCs w:val="28"/>
        </w:rPr>
      </w:pPr>
      <w:bookmarkStart w:id="0" w:name="_GoBack"/>
      <w:bookmarkEnd w:id="0"/>
      <w:r w:rsidRPr="0029600E">
        <w:rPr>
          <w:bCs/>
          <w:szCs w:val="28"/>
        </w:rPr>
        <w:t>Министерства инвестиционной политики Новгородской области на 2019 год</w:t>
      </w:r>
    </w:p>
    <w:p w:rsidR="0029600E" w:rsidRDefault="0029600E" w:rsidP="0029600E">
      <w:pPr>
        <w:spacing w:after="65"/>
        <w:ind w:left="71" w:right="14" w:firstLine="701"/>
      </w:pPr>
    </w:p>
    <w:tbl>
      <w:tblPr>
        <w:tblStyle w:val="a5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2410"/>
        <w:gridCol w:w="5528"/>
        <w:gridCol w:w="2268"/>
        <w:gridCol w:w="1843"/>
      </w:tblGrid>
      <w:tr w:rsidR="00232F3F" w:rsidTr="001C69BB">
        <w:trPr>
          <w:trHeight w:val="2935"/>
        </w:trPr>
        <w:tc>
          <w:tcPr>
            <w:tcW w:w="2978" w:type="dxa"/>
          </w:tcPr>
          <w:p w:rsidR="0029600E" w:rsidRPr="00C23332" w:rsidRDefault="0029600E" w:rsidP="00E0132A">
            <w:pPr>
              <w:pStyle w:val="1"/>
              <w:outlineLvl w:val="0"/>
              <w:rPr>
                <w:b w:val="0"/>
              </w:rPr>
            </w:pPr>
            <w:r w:rsidRPr="00C23332">
              <w:rPr>
                <w:b w:val="0"/>
                <w:color w:val="auto"/>
              </w:rPr>
              <w:t>Наименование заказчика</w:t>
            </w:r>
          </w:p>
        </w:tc>
        <w:tc>
          <w:tcPr>
            <w:tcW w:w="2410" w:type="dxa"/>
          </w:tcPr>
          <w:p w:rsidR="0029600E" w:rsidRDefault="0029600E" w:rsidP="0029600E">
            <w:pPr>
              <w:spacing w:after="65"/>
              <w:ind w:right="14" w:firstLine="0"/>
            </w:pPr>
            <w:r>
              <w:t>Адрес местонахождения заказчика</w:t>
            </w:r>
          </w:p>
        </w:tc>
        <w:tc>
          <w:tcPr>
            <w:tcW w:w="5528" w:type="dxa"/>
          </w:tcPr>
          <w:p w:rsidR="0029600E" w:rsidRDefault="00232F3F" w:rsidP="0029600E">
            <w:pPr>
              <w:spacing w:after="65"/>
              <w:ind w:right="14" w:firstLine="0"/>
            </w:pPr>
            <w:r>
              <w:t>Предмет проверки (проверяемые вопросы), в том числе период времени, за который проверяется деятельность заказчика</w:t>
            </w:r>
          </w:p>
        </w:tc>
        <w:tc>
          <w:tcPr>
            <w:tcW w:w="2268" w:type="dxa"/>
          </w:tcPr>
          <w:p w:rsidR="0029600E" w:rsidRDefault="00232F3F" w:rsidP="0029600E">
            <w:pPr>
              <w:spacing w:after="65"/>
              <w:ind w:right="14" w:firstLine="0"/>
            </w:pPr>
            <w:r>
              <w:t xml:space="preserve">Вид мероприятия ведомственного контроля (выездное или документарное) </w:t>
            </w:r>
          </w:p>
        </w:tc>
        <w:tc>
          <w:tcPr>
            <w:tcW w:w="1843" w:type="dxa"/>
          </w:tcPr>
          <w:p w:rsidR="0029600E" w:rsidRDefault="00232F3F" w:rsidP="0029600E">
            <w:pPr>
              <w:spacing w:after="65"/>
              <w:ind w:right="14" w:firstLine="0"/>
            </w:pPr>
            <w:r>
              <w:t>Срок проведения мероприятия ведомственного контроля (дата начала, дата окончания)</w:t>
            </w:r>
          </w:p>
        </w:tc>
      </w:tr>
      <w:tr w:rsidR="00232F3F" w:rsidTr="001C69BB">
        <w:tc>
          <w:tcPr>
            <w:tcW w:w="2978" w:type="dxa"/>
          </w:tcPr>
          <w:p w:rsidR="0029600E" w:rsidRDefault="00232F3F" w:rsidP="00232F3F">
            <w:pPr>
              <w:spacing w:after="65"/>
              <w:ind w:right="14" w:firstLine="780"/>
            </w:pPr>
            <w:r>
              <w:t>1</w:t>
            </w:r>
          </w:p>
        </w:tc>
        <w:tc>
          <w:tcPr>
            <w:tcW w:w="2410" w:type="dxa"/>
          </w:tcPr>
          <w:p w:rsidR="0029600E" w:rsidRDefault="00232F3F" w:rsidP="00232F3F">
            <w:pPr>
              <w:spacing w:after="65"/>
              <w:ind w:right="14" w:firstLine="1026"/>
            </w:pPr>
            <w:r>
              <w:t>2</w:t>
            </w:r>
          </w:p>
        </w:tc>
        <w:tc>
          <w:tcPr>
            <w:tcW w:w="5528" w:type="dxa"/>
          </w:tcPr>
          <w:p w:rsidR="0029600E" w:rsidRDefault="00232F3F" w:rsidP="00232F3F">
            <w:pPr>
              <w:spacing w:after="65"/>
              <w:ind w:right="14" w:firstLine="2585"/>
            </w:pPr>
            <w:r>
              <w:t>3</w:t>
            </w:r>
          </w:p>
        </w:tc>
        <w:tc>
          <w:tcPr>
            <w:tcW w:w="2268" w:type="dxa"/>
          </w:tcPr>
          <w:p w:rsidR="0029600E" w:rsidRDefault="00232F3F" w:rsidP="00232F3F">
            <w:pPr>
              <w:spacing w:after="65"/>
              <w:ind w:right="14" w:firstLine="1451"/>
            </w:pPr>
            <w:r>
              <w:t>4</w:t>
            </w:r>
          </w:p>
        </w:tc>
        <w:tc>
          <w:tcPr>
            <w:tcW w:w="1843" w:type="dxa"/>
          </w:tcPr>
          <w:p w:rsidR="0029600E" w:rsidRDefault="00232F3F" w:rsidP="00232F3F">
            <w:pPr>
              <w:spacing w:after="65"/>
              <w:ind w:right="14" w:firstLine="743"/>
            </w:pPr>
            <w:r>
              <w:t>5</w:t>
            </w:r>
          </w:p>
        </w:tc>
      </w:tr>
      <w:tr w:rsidR="00232F3F" w:rsidTr="001C69BB">
        <w:tc>
          <w:tcPr>
            <w:tcW w:w="2978" w:type="dxa"/>
          </w:tcPr>
          <w:p w:rsidR="0029600E" w:rsidRPr="001C69BB" w:rsidRDefault="00A438D2" w:rsidP="001C69BB">
            <w:pPr>
              <w:spacing w:after="65"/>
              <w:ind w:right="14" w:firstLine="0"/>
              <w:rPr>
                <w:color w:val="auto"/>
                <w:szCs w:val="28"/>
              </w:rPr>
            </w:pPr>
            <w:r w:rsidRPr="001C69BB">
              <w:rPr>
                <w:color w:val="auto"/>
                <w:szCs w:val="28"/>
                <w:shd w:val="clear" w:color="auto" w:fill="FFFFFF"/>
              </w:rPr>
              <w:t>Государственное</w:t>
            </w:r>
            <w:r w:rsidR="001C69BB" w:rsidRPr="001C69BB">
              <w:rPr>
                <w:color w:val="auto"/>
                <w:szCs w:val="28"/>
                <w:shd w:val="clear" w:color="auto" w:fill="FFFFFF"/>
              </w:rPr>
              <w:t xml:space="preserve"> областное казенное учреждение</w:t>
            </w:r>
            <w:r w:rsidR="001C69BB" w:rsidRPr="001C69BB">
              <w:rPr>
                <w:bCs/>
                <w:caps/>
                <w:szCs w:val="28"/>
                <w:shd w:val="clear" w:color="auto" w:fill="FFFFFF"/>
              </w:rPr>
              <w:t xml:space="preserve"> «ЦЕНТР ПО МОНИТОРИНГУ И АНАЛИЗУ СОЦИАЛЬНО-ЭКОНОМИЧЕСКОГО </w:t>
            </w:r>
            <w:r w:rsidR="001C69BB" w:rsidRPr="001C69BB">
              <w:rPr>
                <w:bCs/>
                <w:caps/>
                <w:szCs w:val="28"/>
                <w:shd w:val="clear" w:color="auto" w:fill="FFFFFF"/>
              </w:rPr>
              <w:lastRenderedPageBreak/>
              <w:t>РАЗВИТИЯ НОВГОРОДСКОЙ ОБЛАСТИ»</w:t>
            </w:r>
          </w:p>
        </w:tc>
        <w:tc>
          <w:tcPr>
            <w:tcW w:w="2410" w:type="dxa"/>
          </w:tcPr>
          <w:p w:rsidR="0029600E" w:rsidRPr="001C69BB" w:rsidRDefault="001C69BB" w:rsidP="0029600E">
            <w:pPr>
              <w:spacing w:after="65"/>
              <w:ind w:right="14" w:firstLine="0"/>
              <w:rPr>
                <w:color w:val="auto"/>
                <w:szCs w:val="28"/>
              </w:rPr>
            </w:pPr>
            <w:r w:rsidRPr="001C69BB">
              <w:rPr>
                <w:szCs w:val="28"/>
                <w:shd w:val="clear" w:color="auto" w:fill="FFFFFF"/>
              </w:rPr>
              <w:lastRenderedPageBreak/>
              <w:t xml:space="preserve">173005, </w:t>
            </w:r>
            <w:proofErr w:type="gramStart"/>
            <w:r w:rsidRPr="001C69BB">
              <w:rPr>
                <w:szCs w:val="28"/>
                <w:shd w:val="clear" w:color="auto" w:fill="FFFFFF"/>
              </w:rPr>
              <w:t>Великий</w:t>
            </w:r>
            <w:proofErr w:type="gramEnd"/>
            <w:r w:rsidRPr="001C69BB">
              <w:rPr>
                <w:szCs w:val="28"/>
                <w:shd w:val="clear" w:color="auto" w:fill="FFFFFF"/>
              </w:rPr>
              <w:t xml:space="preserve"> Новгород, пл. Победы - Софийская, д.1</w:t>
            </w:r>
          </w:p>
        </w:tc>
        <w:tc>
          <w:tcPr>
            <w:tcW w:w="5528" w:type="dxa"/>
          </w:tcPr>
          <w:p w:rsidR="00232F3F" w:rsidRPr="00A438D2" w:rsidRDefault="00232F3F" w:rsidP="00232F3F">
            <w:pPr>
              <w:ind w:left="71" w:right="14"/>
              <w:rPr>
                <w:color w:val="auto"/>
              </w:rPr>
            </w:pPr>
            <w:r w:rsidRPr="00A438D2">
              <w:rPr>
                <w:color w:val="auto"/>
              </w:rPr>
              <w:t>Соблюдения законодательства о контрактной системе в сфере закупок, в том числе:</w:t>
            </w:r>
          </w:p>
          <w:p w:rsidR="00232F3F" w:rsidRPr="00A438D2" w:rsidRDefault="00232F3F" w:rsidP="00232F3F">
            <w:pPr>
              <w:ind w:left="71" w:right="14"/>
              <w:rPr>
                <w:color w:val="auto"/>
              </w:rPr>
            </w:pPr>
            <w:r w:rsidRPr="00A438D2">
              <w:rPr>
                <w:color w:val="auto"/>
              </w:rPr>
              <w:t>а) соблюдения ограничений и запретов, установленных законодательством о контрактной системе в сфере закупок;</w:t>
            </w:r>
          </w:p>
          <w:p w:rsidR="00232F3F" w:rsidRPr="00A438D2" w:rsidRDefault="00232F3F" w:rsidP="00232F3F">
            <w:pPr>
              <w:spacing w:after="71"/>
              <w:ind w:left="71" w:right="14"/>
              <w:rPr>
                <w:color w:val="auto"/>
              </w:rPr>
            </w:pPr>
            <w:r w:rsidRPr="00A438D2">
              <w:rPr>
                <w:color w:val="auto"/>
              </w:rPr>
              <w:t xml:space="preserve">б) соблюдения требований к обоснованию </w:t>
            </w:r>
            <w:r w:rsidRPr="00A438D2">
              <w:rPr>
                <w:color w:val="auto"/>
              </w:rPr>
              <w:lastRenderedPageBreak/>
              <w:t>закупок и обоснованности закупок;</w:t>
            </w:r>
          </w:p>
          <w:p w:rsidR="00232F3F" w:rsidRPr="00A438D2" w:rsidRDefault="00232F3F" w:rsidP="00232F3F">
            <w:pPr>
              <w:ind w:left="71" w:right="14"/>
              <w:rPr>
                <w:color w:val="auto"/>
              </w:rPr>
            </w:pPr>
            <w:r w:rsidRPr="00A438D2">
              <w:rPr>
                <w:color w:val="auto"/>
              </w:rPr>
              <w:t>в) соблюдения требований о нормировании в сфере закупок;</w:t>
            </w:r>
          </w:p>
          <w:p w:rsidR="00232F3F" w:rsidRPr="00A438D2" w:rsidRDefault="00232F3F" w:rsidP="00232F3F">
            <w:pPr>
              <w:ind w:left="71" w:right="14"/>
              <w:rPr>
                <w:color w:val="auto"/>
              </w:rPr>
            </w:pPr>
            <w:r w:rsidRPr="00A438D2">
              <w:rPr>
                <w:color w:val="auto"/>
              </w:rPr>
      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      </w:r>
          </w:p>
          <w:p w:rsidR="00232F3F" w:rsidRPr="00A438D2" w:rsidRDefault="00232F3F" w:rsidP="00232F3F">
            <w:pPr>
              <w:spacing w:after="70"/>
              <w:ind w:left="71" w:right="14"/>
              <w:rPr>
                <w:color w:val="auto"/>
              </w:rPr>
            </w:pPr>
            <w:r w:rsidRPr="00A438D2">
              <w:rPr>
                <w:color w:val="auto"/>
              </w:rPr>
      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      </w:r>
          </w:p>
          <w:p w:rsidR="00232F3F" w:rsidRPr="00A438D2" w:rsidRDefault="00232F3F" w:rsidP="00232F3F">
            <w:pPr>
              <w:ind w:left="71" w:right="14"/>
              <w:rPr>
                <w:color w:val="auto"/>
              </w:rPr>
            </w:pPr>
            <w:proofErr w:type="gramStart"/>
            <w:r w:rsidRPr="00A438D2">
              <w:rPr>
                <w:color w:val="auto"/>
              </w:rPr>
              <w:t xml:space="preserve">е) соответствия информации об идентификационных кодах закупок и объеме финансового обеспечения для осуществления данных закупок, содержащейся: в планах-графиках, - информации, содержащейся в планах закупок; в протоколах определения поставщиков (подрядчиков, исполнителей), </w:t>
            </w:r>
            <w:r w:rsidRPr="00A438D2">
              <w:rPr>
                <w:noProof/>
                <w:color w:val="auto"/>
              </w:rPr>
              <w:drawing>
                <wp:inline distT="0" distB="0" distL="0" distR="0" wp14:anchorId="3AE1A0F3" wp14:editId="7CE870B3">
                  <wp:extent cx="57150" cy="28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38D2">
              <w:rPr>
                <w:color w:val="auto"/>
              </w:rPr>
              <w:t xml:space="preserve">информации, содержащейся в документации о закупках; </w:t>
            </w:r>
            <w:r w:rsidRPr="00A438D2">
              <w:rPr>
                <w:color w:val="auto"/>
              </w:rPr>
              <w:lastRenderedPageBreak/>
      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      </w:r>
            <w:proofErr w:type="gramEnd"/>
            <w:r w:rsidRPr="00A438D2">
              <w:rPr>
                <w:color w:val="auto"/>
              </w:rPr>
              <w:t xml:space="preserve"> в реестре контрактов, заключенных заказчиками, - условиям контрактов;</w:t>
            </w:r>
          </w:p>
          <w:p w:rsidR="00232F3F" w:rsidRPr="00A438D2" w:rsidRDefault="00232F3F" w:rsidP="00232F3F">
            <w:pPr>
              <w:spacing w:after="70"/>
              <w:ind w:left="71" w:right="77"/>
              <w:rPr>
                <w:color w:val="auto"/>
              </w:rPr>
            </w:pPr>
            <w:r w:rsidRPr="00A438D2">
              <w:rPr>
                <w:color w:val="auto"/>
              </w:rPr>
      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      </w:r>
          </w:p>
          <w:p w:rsidR="00232F3F" w:rsidRPr="00A438D2" w:rsidRDefault="00232F3F" w:rsidP="00232F3F">
            <w:pPr>
              <w:ind w:left="10" w:right="86"/>
              <w:rPr>
                <w:color w:val="auto"/>
              </w:rPr>
            </w:pPr>
            <w:r w:rsidRPr="00A438D2">
              <w:rPr>
                <w:color w:val="auto"/>
              </w:rPr>
      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      </w:r>
          </w:p>
          <w:p w:rsidR="00232F3F" w:rsidRPr="00A438D2" w:rsidRDefault="00232F3F" w:rsidP="00232F3F">
            <w:pPr>
              <w:spacing w:after="69"/>
              <w:ind w:right="14"/>
              <w:rPr>
                <w:color w:val="auto"/>
              </w:rPr>
            </w:pPr>
            <w:r w:rsidRPr="00A438D2">
              <w:rPr>
                <w:color w:val="auto"/>
              </w:rPr>
              <w:t>и) соблюдения требований по определению поставщика (подрядчика, исполнителя);</w:t>
            </w:r>
          </w:p>
          <w:p w:rsidR="00232F3F" w:rsidRPr="00A438D2" w:rsidRDefault="00232F3F" w:rsidP="00232F3F">
            <w:pPr>
              <w:ind w:right="106"/>
              <w:rPr>
                <w:color w:val="auto"/>
              </w:rPr>
            </w:pPr>
            <w:r w:rsidRPr="00A438D2">
              <w:rPr>
                <w:color w:val="auto"/>
              </w:rPr>
              <w:t xml:space="preserve"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</w:t>
            </w:r>
            <w:r w:rsidRPr="00A438D2">
              <w:rPr>
                <w:color w:val="auto"/>
              </w:rPr>
              <w:lastRenderedPageBreak/>
              <w:t>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      </w:r>
          </w:p>
          <w:p w:rsidR="00232F3F" w:rsidRPr="00A438D2" w:rsidRDefault="00232F3F" w:rsidP="00232F3F">
            <w:pPr>
              <w:spacing w:after="14"/>
              <w:ind w:left="71" w:right="14"/>
              <w:rPr>
                <w:color w:val="auto"/>
              </w:rPr>
            </w:pPr>
            <w:r w:rsidRPr="00A438D2">
              <w:rPr>
                <w:color w:val="auto"/>
              </w:rPr>
      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      </w:r>
          </w:p>
          <w:p w:rsidR="00232F3F" w:rsidRPr="00A438D2" w:rsidRDefault="00232F3F" w:rsidP="00232F3F">
            <w:pPr>
              <w:spacing w:after="18"/>
              <w:ind w:left="71" w:right="14"/>
              <w:rPr>
                <w:color w:val="auto"/>
              </w:rPr>
            </w:pPr>
            <w:r w:rsidRPr="00A438D2">
              <w:rPr>
                <w:color w:val="auto"/>
              </w:rPr>
              <w:t>м) соответствия поставленного товара, выполненной работы (ее результата) или оказанной услуги условиям контракта;</w:t>
            </w:r>
          </w:p>
          <w:p w:rsidR="00232F3F" w:rsidRPr="00A438D2" w:rsidRDefault="00232F3F" w:rsidP="00232F3F">
            <w:pPr>
              <w:spacing w:after="17"/>
              <w:ind w:left="71" w:right="14"/>
              <w:rPr>
                <w:color w:val="auto"/>
              </w:rPr>
            </w:pPr>
            <w:r w:rsidRPr="00A438D2">
              <w:rPr>
                <w:color w:val="auto"/>
              </w:rPr>
      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      </w:r>
          </w:p>
          <w:p w:rsidR="0029600E" w:rsidRPr="00A438D2" w:rsidRDefault="00232F3F" w:rsidP="00A438D2">
            <w:pPr>
              <w:rPr>
                <w:color w:val="auto"/>
              </w:rPr>
            </w:pPr>
            <w:r w:rsidRPr="00A438D2">
              <w:rPr>
                <w:color w:val="auto"/>
              </w:rPr>
              <w:t>о) соответствия использования поставленного товара, выполненной работы (ее результата) или оказанной услуги целям осуществления закупки.</w:t>
            </w:r>
          </w:p>
        </w:tc>
        <w:tc>
          <w:tcPr>
            <w:tcW w:w="2268" w:type="dxa"/>
          </w:tcPr>
          <w:p w:rsidR="0029600E" w:rsidRDefault="00232F3F" w:rsidP="0029600E">
            <w:pPr>
              <w:spacing w:after="65"/>
              <w:ind w:right="14" w:firstLine="0"/>
            </w:pPr>
            <w:r>
              <w:lastRenderedPageBreak/>
              <w:t>Документарное</w:t>
            </w:r>
          </w:p>
        </w:tc>
        <w:tc>
          <w:tcPr>
            <w:tcW w:w="1843" w:type="dxa"/>
          </w:tcPr>
          <w:p w:rsidR="0029600E" w:rsidRDefault="00A438D2" w:rsidP="0029600E">
            <w:pPr>
              <w:spacing w:after="65"/>
              <w:ind w:right="14" w:firstLine="0"/>
            </w:pPr>
            <w:r>
              <w:t xml:space="preserve">Октябрь </w:t>
            </w:r>
            <w:r w:rsidR="00232F3F">
              <w:t>2019 года</w:t>
            </w:r>
          </w:p>
        </w:tc>
      </w:tr>
    </w:tbl>
    <w:p w:rsidR="0029600E" w:rsidRDefault="0029600E" w:rsidP="0029600E">
      <w:pPr>
        <w:spacing w:after="65"/>
        <w:ind w:left="71" w:right="14" w:firstLine="701"/>
      </w:pPr>
    </w:p>
    <w:sectPr w:rsidR="0029600E" w:rsidSect="002960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3A"/>
    <w:rsid w:val="001C69BB"/>
    <w:rsid w:val="00232F3F"/>
    <w:rsid w:val="0029600E"/>
    <w:rsid w:val="002A6D8C"/>
    <w:rsid w:val="00A438D2"/>
    <w:rsid w:val="00A9193A"/>
    <w:rsid w:val="00C23332"/>
    <w:rsid w:val="00E0132A"/>
    <w:rsid w:val="00F9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0E"/>
    <w:pPr>
      <w:spacing w:after="44" w:line="268" w:lineRule="auto"/>
      <w:ind w:firstLine="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13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00E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59"/>
    <w:rsid w:val="00296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13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0E"/>
    <w:pPr>
      <w:spacing w:after="44" w:line="268" w:lineRule="auto"/>
      <w:ind w:firstLine="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13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00E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59"/>
    <w:rsid w:val="00296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13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D1A4C-4E59-4C35-951E-0B7AAD91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Голубченко Елена Сергеевна</dc:creator>
  <cp:keywords/>
  <dc:description/>
  <cp:lastModifiedBy>Голубченко Елена Сергеевна</cp:lastModifiedBy>
  <cp:revision>6</cp:revision>
  <cp:lastPrinted>2019-03-22T13:24:00Z</cp:lastPrinted>
  <dcterms:created xsi:type="dcterms:W3CDTF">2019-03-20T14:13:00Z</dcterms:created>
  <dcterms:modified xsi:type="dcterms:W3CDTF">2019-03-22T13:25:00Z</dcterms:modified>
</cp:coreProperties>
</file>