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3F5" w:rsidRDefault="002C13F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C13F5" w:rsidRDefault="002C13F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C13F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C13F5" w:rsidRDefault="002C13F5">
            <w:pPr>
              <w:pStyle w:val="ConsPlusNormal"/>
            </w:pPr>
            <w:r>
              <w:t>7 мая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C13F5" w:rsidRDefault="002C13F5">
            <w:pPr>
              <w:pStyle w:val="ConsPlusNormal"/>
              <w:jc w:val="right"/>
            </w:pPr>
            <w:r>
              <w:t>N 204</w:t>
            </w:r>
          </w:p>
        </w:tc>
      </w:tr>
    </w:tbl>
    <w:p w:rsidR="002C13F5" w:rsidRDefault="002C13F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13F5" w:rsidRDefault="002C13F5">
      <w:pPr>
        <w:pStyle w:val="ConsPlusNormal"/>
        <w:jc w:val="both"/>
      </w:pPr>
    </w:p>
    <w:p w:rsidR="002C13F5" w:rsidRDefault="002C13F5">
      <w:pPr>
        <w:pStyle w:val="ConsPlusTitle"/>
        <w:jc w:val="center"/>
      </w:pPr>
      <w:r>
        <w:t>УКАЗ</w:t>
      </w:r>
    </w:p>
    <w:p w:rsidR="002C13F5" w:rsidRDefault="002C13F5">
      <w:pPr>
        <w:pStyle w:val="ConsPlusTitle"/>
        <w:jc w:val="both"/>
      </w:pPr>
    </w:p>
    <w:p w:rsidR="002C13F5" w:rsidRDefault="002C13F5">
      <w:pPr>
        <w:pStyle w:val="ConsPlusTitle"/>
        <w:jc w:val="center"/>
      </w:pPr>
      <w:r>
        <w:t>ПРЕЗИДЕНТА РОССИЙСКОЙ ФЕДЕРАЦИИ</w:t>
      </w:r>
    </w:p>
    <w:p w:rsidR="002C13F5" w:rsidRDefault="002C13F5">
      <w:pPr>
        <w:pStyle w:val="ConsPlusTitle"/>
        <w:jc w:val="both"/>
      </w:pPr>
    </w:p>
    <w:p w:rsidR="002C13F5" w:rsidRDefault="002C13F5">
      <w:pPr>
        <w:pStyle w:val="ConsPlusTitle"/>
        <w:jc w:val="center"/>
      </w:pPr>
      <w:r>
        <w:t>О НАЦИОНАЛЬНЫХ ЦЕЛЯХ И СТРАТЕГИЧЕСКИХ ЗАДАЧАХ</w:t>
      </w:r>
    </w:p>
    <w:p w:rsidR="002C13F5" w:rsidRDefault="002C13F5">
      <w:pPr>
        <w:pStyle w:val="ConsPlusTitle"/>
        <w:jc w:val="center"/>
      </w:pPr>
      <w:r>
        <w:t>РАЗВИТИЯ РОССИЙСКОЙ ФЕДЕРАЦИИ НА ПЕРИОД ДО 2024 ГОДА</w:t>
      </w:r>
    </w:p>
    <w:p w:rsidR="002C13F5" w:rsidRDefault="002C13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C13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13F5" w:rsidRDefault="002C13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13F5" w:rsidRDefault="002C13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13F5" w:rsidRDefault="002C13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13F5" w:rsidRDefault="002C13F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19.07.2018 </w:t>
            </w:r>
            <w:hyperlink r:id="rId5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>,</w:t>
            </w:r>
          </w:p>
          <w:p w:rsidR="002C13F5" w:rsidRDefault="002C13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21.07.2020 </w:t>
            </w:r>
            <w:hyperlink r:id="rId6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13F5" w:rsidRDefault="002C13F5">
            <w:pPr>
              <w:pStyle w:val="ConsPlusNormal"/>
            </w:pPr>
          </w:p>
        </w:tc>
      </w:tr>
    </w:tbl>
    <w:p w:rsidR="002C13F5" w:rsidRDefault="002C13F5">
      <w:pPr>
        <w:pStyle w:val="ConsPlusNormal"/>
        <w:jc w:val="both"/>
      </w:pPr>
    </w:p>
    <w:p w:rsidR="002C13F5" w:rsidRDefault="002C13F5">
      <w:pPr>
        <w:pStyle w:val="ConsPlusNormal"/>
        <w:ind w:firstLine="540"/>
        <w:jc w:val="both"/>
      </w:pPr>
      <w:r>
        <w:t>В целях осуществления прорывного научно-технологического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постановляю:</w:t>
      </w:r>
    </w:p>
    <w:p w:rsidR="002C13F5" w:rsidRDefault="002C13F5">
      <w:pPr>
        <w:pStyle w:val="ConsPlusNormal"/>
        <w:spacing w:before="200"/>
        <w:ind w:firstLine="540"/>
        <w:jc w:val="both"/>
      </w:pPr>
      <w:bookmarkStart w:id="0" w:name="P15"/>
      <w:bookmarkEnd w:id="0"/>
      <w:r>
        <w:t xml:space="preserve">1. Утратил силу. - </w:t>
      </w:r>
      <w:hyperlink r:id="rId7">
        <w:r>
          <w:rPr>
            <w:color w:val="0000FF"/>
          </w:rPr>
          <w:t>Указ</w:t>
        </w:r>
      </w:hyperlink>
      <w:r>
        <w:t xml:space="preserve"> Президента РФ от 21.07.2020 N 474.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2. Правительству Российской Федерации: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 xml:space="preserve">а) утвердить до 1 октября 2018 г. </w:t>
      </w:r>
      <w:hyperlink r:id="rId8">
        <w:r>
          <w:rPr>
            <w:color w:val="0000FF"/>
          </w:rPr>
          <w:t>Основные направления</w:t>
        </w:r>
      </w:hyperlink>
      <w:r>
        <w:t xml:space="preserve"> деятельности Правительства Российской Федерации на период до 2024 года и </w:t>
      </w:r>
      <w:hyperlink r:id="rId9">
        <w:r>
          <w:rPr>
            <w:color w:val="0000FF"/>
          </w:rPr>
          <w:t>прогноз</w:t>
        </w:r>
      </w:hyperlink>
      <w:r>
        <w:t xml:space="preserve"> социально-экономического развития Российской Федерации на период до 2024 года, предусмотрев механизмы и ресурсное обеспечение достижения национальных целей, определенных </w:t>
      </w:r>
      <w:hyperlink w:anchor="P15">
        <w:r>
          <w:rPr>
            <w:color w:val="0000FF"/>
          </w:rPr>
          <w:t>пунктом 1</w:t>
        </w:r>
      </w:hyperlink>
      <w:r>
        <w:t xml:space="preserve"> настоящего Указа;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 xml:space="preserve">б) в соответствии с национальными целями, определенными </w:t>
      </w:r>
      <w:hyperlink w:anchor="P15">
        <w:r>
          <w:rPr>
            <w:color w:val="0000FF"/>
          </w:rPr>
          <w:t>пунктом 1</w:t>
        </w:r>
      </w:hyperlink>
      <w:r>
        <w:t xml:space="preserve"> настоящего Указа, разработать (скорректировать) совместно с органами государственной власти субъектов Российской Федерации и представить до 1 октября 2018 г. для рассмотрения на заседании Совета при Президенте Российской Федерации по стратегическому развитию и национальным проектам национальные </w:t>
      </w:r>
      <w:hyperlink r:id="rId10">
        <w:r>
          <w:rPr>
            <w:color w:val="0000FF"/>
          </w:rPr>
          <w:t>проекты</w:t>
        </w:r>
      </w:hyperlink>
      <w:r>
        <w:t xml:space="preserve"> (программы) по следующим направлениям:</w:t>
      </w:r>
    </w:p>
    <w:p w:rsidR="002C13F5" w:rsidRDefault="002C13F5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Указа</w:t>
        </w:r>
      </w:hyperlink>
      <w:r>
        <w:t xml:space="preserve"> Президента РФ от 19.07.2018 N 444)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демография;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здравоохранение;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образование;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жилье и городская среда;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экология;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безопасные и качественные автомобильные дороги;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производительность труда и поддержка занятости;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наука;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цифровая экономика;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культура;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малое и среднее предпринимательство и поддержка индивидуальной предпринимательской инициативы;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международная кооперация и экспорт.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 xml:space="preserve">3. Правительству Российской Федерации при разработке национальной программы в сфере </w:t>
      </w:r>
      <w:r>
        <w:lastRenderedPageBreak/>
        <w:t>демографического развития исходить из того, что в 2024 году необходимо обеспечить: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а) достижение следующих целей и целевых показателей: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увеличение ожидаемой продолжительности здоровой жизни до 67 лет;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увеличение суммарного коэффициента рождаемости до 1,7;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увеличение доли граждан, ведущих здоровый образ жизни, а также увеличение до 55 процентов доли граждан, систематически занимающихся физической культурой и спортом;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б) решение следующих задач: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внедрение механизма финансовой поддержки семей при рождении детей;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создание условий для осуществления трудовой деятельности женщин, имеющих детей, включая достижение 100-процентной доступности (к 2021 году) дошкольного образования для детей в возрасте до трех лет;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разработка и реализация программы системной поддержки и повышения качества жизни граждан старшего поколения;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формирование системы мотивации граждан к здоровому образу жизни, включая здоровое питание и отказ от вредных привычек;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4. Правительству Российской Федерации при разработке национального проекта в сфере здравоохранения исходить из того, что в 2024 году необходимо обеспечить: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а) достижение следующих целей и целевых показателей: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снижение показателей смертности населения трудоспособного возраста (до 350 случаев на 100 тыс. населения), смертности от болезней системы кровообращения (до 450 случаев на 100 тыс. населения), смертности от новообразований, в том числе от злокачественных (до 185 случаев на 100 тыс. населения), младенческой смертности (до 4,5 случая на 1 тыс. родившихся детей);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ликвидация кадрового дефицита в медицинских организациях, оказывающих первичную медико-санитарную помощь;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обеспечение охвата всех граждан профилактическими медицинскими осмотрами не реже одного раза в год;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оптимизация работы медицинских организаций, оказывающих первичную медико-санитарную помощь, сокращение времени ожидания в очереди при обращении граждан в указанные медицинские организации, упрощение процедуры записи на прием к врачу;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увеличение объема экспорта медицинских услуг не менее чем в четыре раза по сравнению с 2017 годом (до 1 млрд. долларов США в год);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б) решение следующих задач: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завершение формирования сети медицинских организаций первичного звена здравоохранения с использованием в сфере здравоохранения геоинформационной системы с учетом необходимости строительства врачебных амбулаторий, фельдшерских и фельдшерско-акушерских пунктов в населенных пунктах с численностью населения от 100 человек до 2 тыс. человек, а также с учетом использования мобильных медицинских комплексов в населенных пунктах с численностью населения менее 100 человек;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завершение формирования сети национальных медицинских исследовательских центров;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lastRenderedPageBreak/>
        <w:t>создание механизмов взаимодействия медицинских организаций на основе единой государственной информационной системы в сфере здравоохранения;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внедрение инновационных медицинских технологий, включая систему ранней диагностики и дистанционный мониторинг состояния здоровья пациентов;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обеспечение медицинских организаций системы здравоохранения квалифицированными кадрами, включая внедрение системы непрерывного образования медицинских работников, в том числе с использованием дистанционных образовательных технологий;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 xml:space="preserve">внедрение </w:t>
      </w:r>
      <w:hyperlink r:id="rId12">
        <w:r>
          <w:rPr>
            <w:color w:val="0000FF"/>
          </w:rPr>
          <w:t>клинических рекомендаций</w:t>
        </w:r>
      </w:hyperlink>
      <w:r>
        <w:t xml:space="preserve"> и протоколов лечения и их использование в целях формирования тарифов на оплату медицинской помощи;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разработка и реализация программ борьбы с онкологическими заболеваниями, сердечно-сосудистыми заболеваниями, развития детского здравоохранения, включая создание современной инфраструктуры оказания медицинской помощи детям;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формирование системы защиты прав пациентов;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совершенствование механизма экспорта медицинских услуг.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5. Правительству Российской Федерации при разработке национального проекта в сфере образования исходить из того, что в 2024 году необходимо обеспечить: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а) достижение следующих целей и целевых показателей: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б) решение следующих задач: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"Технология";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 xml:space="preserve">внедрение национальной </w:t>
      </w:r>
      <w:hyperlink r:id="rId13">
        <w:r>
          <w:rPr>
            <w:color w:val="0000FF"/>
          </w:rPr>
          <w:t>системы</w:t>
        </w:r>
      </w:hyperlink>
      <w:r>
        <w:t xml:space="preserve"> профессионального роста педагогических работников, охватывающей не менее 50 процентов учителей общеобразовательных организаций;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модернизация профессионального образования, в том числе посредством внедрения адаптивных, практико-ориентированных и гибких образовательных программ;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lastRenderedPageBreak/>
        <w:t>создание условий для развития наставничества, поддержки общественных инициатив и проектов, в том числе в сфере добровольчества (волонтерства);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увеличение не менее чем в два раза количества иностранных граждан, обучающихся в образовательных организациях высшего образования и научных организациях, а также реализация комплекса мер по трудоустройству лучших из них в Российской Федерации.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6. Правительству Российской Федерации при разработке национального проекта в сфере жилья и городской среды исходить из того, что в 2024 году необходимо обеспечить: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а) достижение следующих целей и целевых показателей: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обеспечение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ставка по которому должна быть менее 8 процентов;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увеличение объема жилищного строительства не менее чем до 120 млн. квадратных метров в год;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кардинальное повышение комфортности городской среды, повышение индекса качества городской среды на 30 процентов, сокращение в соответствии с этим индексом количества городов с неблагоприятной средой в два раза;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обеспечение устойчивого сокращения непригодного для проживания жилищного фонда;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б) решение следующих задач: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совершенствование механизмов финансирования жилищного строительства, в том числе посредством развития рынка ипотечных ценных бумаг и поэтапного перехода от привлечения денежных средств для долевого строительства многоквартирных домов и иных объектов недвижимости к другим формам финансирования жилищного строительства, обеспечивающим защиту прав граждан и снижение рисков для них;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модернизация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снижение административной нагрузки на застройщиков, совершенствование нормативно-правовой базы и порядка регулирования деятельности в сфере жилищного строительства;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территорий, на которых располагаются природные объекты, имеющие экологическое, историко-культурное, рекреационное, оздоровительное и иное ценное значение;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создание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Федерации.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7. Правительству Российской Федерации при разработке национального проекта в сфере экологии исходить из того, что в 2024 году необходимо обеспечить: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а) достижение следующих целей и целевых показателей: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эффективное обращение с отходами производства и потребления, включая ликвидацию всех выявленных на 1 января 2018 г. несанкционированных свалок в границах городов;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lastRenderedPageBreak/>
        <w:t>кардинальное снижение уровня загрязнения атмосферного воздуха в крупных промышленных центрах, в том числе уменьшение не менее чем на 20 процентов совокупного объема выбросов загрязняющих веществ в атмосферный воздух в наиболее загрязненных городах;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повышение качества питьевой воды для населения, в том числе для жителей населенных пунктов, не оборудованных современными системами централизованного водоснабжения;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экологическое оздоровление водных объектов, включая реку Волгу, и сохранение уникальных водных систем, включая озера Байкал и Телецкое;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сохранение биологического разнообразия, в том числе посредством создания не менее 24 новых особо охраняемых природных территорий;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б) решение следующих задач:</w:t>
      </w:r>
    </w:p>
    <w:p w:rsidR="002C13F5" w:rsidRDefault="002C13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C13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13F5" w:rsidRDefault="002C13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13F5" w:rsidRDefault="002C13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13F5" w:rsidRDefault="002C13F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C13F5" w:rsidRDefault="002C13F5">
            <w:pPr>
              <w:pStyle w:val="ConsPlusNormal"/>
              <w:jc w:val="both"/>
            </w:pPr>
            <w:hyperlink r:id="rId14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Президента РФ от 14.01.2019 N 8 создана публично-правовая компания по формированию комплексной системы обращения с ТКО "Российский экологический оператор".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13F5" w:rsidRDefault="002C13F5">
            <w:pPr>
              <w:pStyle w:val="ConsPlusNormal"/>
            </w:pPr>
          </w:p>
        </w:tc>
      </w:tr>
    </w:tbl>
    <w:p w:rsidR="002C13F5" w:rsidRDefault="002C13F5">
      <w:pPr>
        <w:pStyle w:val="ConsPlusNormal"/>
        <w:spacing w:before="260"/>
        <w:ind w:firstLine="540"/>
        <w:jc w:val="both"/>
      </w:pPr>
      <w:r>
        <w:t>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захоронению отходов производства и потребления;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создание и эффективное функционирование во всех субъектах Российской Федерации системы общественного контроля, направленной на выявление и ликвидацию несанкционированных свалок;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создание современной инфраструктуры, обеспечивающей безопасное обращение с отходами I и II классов опасности, и ликвидация наиболее опасных объектов накопленного экологического вреда;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реализация комплексных планов мероприятий по снижению выбросов загрязняющих веществ в атмосферный воздух в крупных промышленных центрах, включая города Братск, Красноярск, Липецк, Магнитогорск, Медногорск, Нижний Тагил, Новокузнецк, Норильск, Омск, Челябинск, Череповец и Читу, с учетом сводных расчетов допустимого в этих городах негативного воздействия на окружающую среду;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применение всеми объектами, оказывающими значительное негативное воздействие на окружающую среду, системы экологического регулирования, основанной на использовании наилучших доступных технологий;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экологическая реабилитация водных объектов, в том числе реализация проекта, направленного на сокращение в три раза доли загрязненных сточных вод, отводимых в реку Волгу, устойчивое функционирование водохозяйственного комплекса Нижней Волги и сохранение экосистемы Волго-Ахтубинской поймы;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сохранение уникальных водных объектов, в том числе реализация проекта по сохранению озера Байкал, а также мероприятий по очистке от мусора берегов и прибрежной акватории озер Байкал, Телецкое, Ладожское, Онежское и рек Волги, Дона, Оби, Енисея, Амура, Урала, Печоры;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сохранение биологического разнообразия, включая увеличение площади особо охраняемых природных территорий на 5 млн. гектаров, реинтродукцию редких видов животных, создание инфраструктуры для экологического туризма в национальных парках, а также сохранение лесов, в том числе на основе их воспроизводства на всех участках вырубленных и погибших лесных насаждений.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 xml:space="preserve">8. Правительству Российской Федерации при разработке национального проекта по созданию безопасных и качественных автомобильных дорог исходить из того, что в 2024 году необходимо </w:t>
      </w:r>
      <w:r>
        <w:lastRenderedPageBreak/>
        <w:t>обеспечить: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а) достижение следующих целей и целевых показателей: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увеличение доли автомобильных дорог регионального значения, соответствующих нормативным требованиям, в их общей протяженности не менее чем до 50 процентов (относительно их протяженности по состоянию на 31 декабря 2017 г.), а также утверждение органами государственной власти субъектов Российской Федерации таких нормативов исходя из установленных на федеральном уровне требований безопасности автомобильных дорог;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снижение доли автомобильных дорог федерального и регионального значения, работающих в режиме перегрузки, в их общей протяженности на 10 процентов по сравнению с 2017 годом;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снижение количества мест концентрации дорожно-транспортных происшествий (аварийно-опасных участков) на дорожной сети в два раза по сравнению с 2017 годом;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снижение смертности в результате дорожно-транспортных происшествий в 3,5 раза по сравнению с 2017 годом - до уровня, не превышающего четырех человек на 100 тыс. населения (к 2030 году - стремление к нулевому уровню смертности);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б) решение следующих задач: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доведение в крупнейших городских агломерациях доли автомобильных дорог, соответствующих нормативным требованиям, в их общей протяженности до 85 процентов;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применение новых механизмов развития и эксплуатации дорожной сети, включая использование инфраструктурной ипотеки, контрактов жизненного цикла, наилучших технологий и материалов;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доведение норматива зачисления налоговых доходов бюджетов субъектов Российской Федерации от акцизов на горюче-смазочные материалы до 100 процентов;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внедрение общедоступной информационной системы контроля за формированием и использованием средств дорожных фондов всех уровней (в 2019 году);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создание механизмов экономического стимулирования сохранности автомобильных дорог регионального и местного значения;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внедрение новых технических требований и стандартов обустройства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внедрение автоматизированных и роботизированных технологий организации дорожного движения и контроля за соблюдением правил дорожного движения;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усиление ответственности водителей за нарушение правил дорожного движения, а также повышение требований к уровню их профессиональной подготовки.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 xml:space="preserve">9. Правительству Российской Федерации при реализации совместно с органами государственной власти субъектов Российской Федерации национальной </w:t>
      </w:r>
      <w:hyperlink r:id="rId15">
        <w:r>
          <w:rPr>
            <w:color w:val="0000FF"/>
          </w:rPr>
          <w:t>программы</w:t>
        </w:r>
      </w:hyperlink>
      <w:r>
        <w:t xml:space="preserve"> в сфере повышения производительности труда и поддержки занятости обеспечить в 2024 году: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а) достижение следующих целей и целевых показателей: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рост производительности труда на средних и крупных предприятиях базовых несырьевых отраслей экономики не ниже 5 процентов в год;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привлечение к участию в реализации указанной национальной программы не менее 10 субъектов Российской Федерации ежегодно;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вовлечение в реализацию указанной национальной программы не менее 10 тыс. средних и крупных предприятий базовых несырьевых отраслей экономики;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б) решение следующих задач: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 xml:space="preserve">стимулирование внедрения передовых управленческих, организационных и технологических </w:t>
      </w:r>
      <w:r>
        <w:lastRenderedPageBreak/>
        <w:t>решений для повышения производительности труда и модернизации основных фондов, в том числе посредством предоставления налоговых преференций;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сокращение нормативно-правовых и административных ограничений, препятствующих росту производительности труда, а также замещение устаревших и непроизводительных рабочих мест;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формирование системы методической и организационной поддержки повышения производительности труда на предприятиях;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формирование системы подготовки кадров, направленной на обучение основам повышения производительности труда, в том числе посредством использования цифровых технологий и платформенных решений.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10. Правительству Российской Федерации при разработке национального проекта в сфере науки исходить из того, что в 2024 году необходимо обеспечить: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а) достижение следующих целей и целевых показателей: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обеспечение присутствия Российской Федерации в числе пяти ведущих стран мира, осуществляющих научные исследования и разработки в областях, определяемых приоритетами научно-технологического развития;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обеспечение привлекательности работы в Российской Федерации для российских и зарубежных ведущих ученых и молодых перспективных исследователей;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опережающее увеличение внутренних затрат на научные исследования и разработки за счет всех источников по сравнению с ростом валового внутреннего продукта страны;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б) решение следующих задач: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создание передовой инфраструктуры научных исследований и разработок, инновационной деятельности, включая создание и развитие сети уникальных научных установок класса "мегасайенс";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обновление не менее 50 процентов приборной базы ведущих организаций, выполняющих научные исследования и разработки;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создание научных центров мирового уровня, включая сеть международных математических центров и центров геномных исследований;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создание не менее 15 научно-образовательных центров мирового уровня на основе интеграции университетов и научных организаций и их кооперации с организациями, действующими в реальном секторе экономики;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формирование целостной системы подготовки и профессионального роста научных и научно-педагогических кадров, обеспечивающей условия для осуществления молодыми учеными научных исследований и разработок, создания научных лабораторий и конкурентоспособных коллективов.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 xml:space="preserve">11. Правительству Российской Федерации при реализации совместно с органами государственной власти субъектов Российской Федерации национальной </w:t>
      </w:r>
      <w:hyperlink r:id="rId16">
        <w:r>
          <w:rPr>
            <w:color w:val="0000FF"/>
          </w:rPr>
          <w:t>программы</w:t>
        </w:r>
      </w:hyperlink>
      <w:r>
        <w:t xml:space="preserve"> "Цифровая экономика Российской Федерации" обеспечить в 2024 году: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а) достижение следующих целей и целевых показателей: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увеличение внутренних затрат на развитие цифровой экономики за счет всех источников (по доле в валовом внутреннем продукте страны) не менее чем в три раза по сравнению с 2017 годом;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 и домохозяйств;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использование преимущественно отечественного программного обеспечения государственными органами, органами местного самоуправления и организациями;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б) решение следующих задач: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lastRenderedPageBreak/>
        <w:t>создание системы правового регулирования цифровой экономики, основанного на гибком подходе в каждой сфере, а также внедрение гражданского оборота на базе цифровых технологий;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создание глобальной конкурентоспособной инфраструктуры передачи, обработки и хранения данных преимущественно на основе отечественных разработок;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обеспечение подготовки высококвалифицированных кадров для цифровой экономики;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обеспечение информационной безопасности на основе отечественных разработок при передаче, обработке и хранении данных, гарантирующей защиту интересов личности, бизнеса и государства;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создание сквозных цифровых технологий преимущественно на основе отечественных разработок;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внедрение цифровых технологий и платформенных решений в сферах государственного управления и оказания государственных услуг, в том числе в интересах населения и субъектов малого и среднего предпринимательства, включая индивидуальных предпринимателей;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преобразование приоритетных отраслей экономики и социальной сферы, включая здравоохранение, образование, промышленность, сельское хозяйство, строительство, городское хозяйство, транспортную и энергетическую инфраструктуру, финансовые услуги, посредством внедрения цифровых технологий и платформенных решений;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создание комплексной системы финансирования проектов по разработке и (или) внедрению цифровых технологий и платформенных решений, включающей в себя венчурное финансирование и иные институты развития;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разработка и внедрение национального механизма осуществления согласованной политики государств - членов Евразийского экономического союза при реализации планов в области развития цифровой экономики.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12. Правительству Российской Федерации при разработке национальной программы в сфере культуры обратить особое внимание на необходимость: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а) укрепления российской гражданской идентичности на основе духовно-нравственных и культурных ценностей народов Российской Федерации;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б) создания (реконструкции) культурно-образовательных и музейных комплексов, включающих в себя концертные залы, театральные, музыкальные, хореографические и другие творческие школы, а также выставочные пространства;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в) обеспечения детских музыкальных, художественных, хореографических школ, училищ и школ искусств необходимыми инструментами, оборудованием и материалами;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г) продвижения талантливой молодежи в сфере музыкального искусства, в том числе посредством создания национального молодежного симфонического оркестра;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д) создания (реконструкции) культурно-досуговых организаций клубного типа на территориях сельских поселений, развития муниципальных библиотек;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е) создания виртуальных концертных залов не менее чем в 500 городах Российской Федерации;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ж) создания условий для показа национальных кинофильмов в кинозалах, расположенных в населенных пунктах с численностью населения до 500 тыс. человек;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з) подготовки кадров для организаций культуры;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и) модернизации региональных и муниципальных театров юного зрителя и кукольных театров путем их реконструкции и капитального ремонта;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к) поддержки добровольческих движений, в том числе в сфере сохранения культурного наследия народов Российской Федерации.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lastRenderedPageBreak/>
        <w:t>13. Правительству Российской Федерации при реализации совместно с органами государственной власти субъектов Российской Федерации национального проекта в сфере развития малого и среднего предпринимательства и поддержки индивидуальной предпринимательской инициативы обеспечить в 2024 году: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а) достижение следующего целевого показателя: увеличение численности занятых в сфере малого и среднего предпринимательства, включая индивидуальных предпринимателей, до 25 млн. человек;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б) решение следующих задач: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улучшение условий ведения предпринимательской деятельности, включая упрощение налоговой отчетности для предпринимателей, применяющих контрольно-кассовую технику;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создание цифровой платформы, ориентированной на поддержку производственной и сбытовой деятельности субъектов малого и среднего предпринимательства, включая индивидуальных предпринимателей;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совершенствование системы закупок, осуществляемых крупнейшими заказчиками у субъектов малого и среднего предпринимательства, включая индивидуальных предпринимателей;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упрощение доступа к льготному финансированию, в том числе ежегодное увеличение объема льготных кредитов, выдаваемых субъектам малого и среднего предпринимательства, включая индивидуальных предпринимателей;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создание системы акселерации субъектов малого и среднего предпринимательства, включая индивидуальных предпринимателей, в том числе инфраструктуры и сервисов поддержки, а также их ускоренное развитие в таких областях, как благоустройство городской среды, научно-технологическая сфера, социальная сфера и экология;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модернизация системы поддержки экспортеров, являющихся субъектами малого и среднего предпринимательства, включая индивидуальных предпринимателей, увеличение доли таких экспортеров в общем объеме несырьевого экспорта не менее чем до 10 процентов;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создание системы поддержки фермеров и развитие сельской кооперации;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обеспечение благоприятных условий осуществления деятельности самозанятыми гражданами посредством создания нового режима налогообложения, предусматривающего передачу информации о продажах в налоговые органы Российской Федерации в автоматическом режиме, освобождение от обязанности представлять отчетность, а также уплату единого платежа с выручки, включающего в себя страховые взносы.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14. Правительству Российской Федерации при разработке национальной программы в сфере развития международной кооперации и экспорта исходить из того, что в 2024 году необходимо обеспечить: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а) достижение следующих целей и целевых показателей: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формирование в обрабатывающей промышленности, сельском хозяйстве, сфере услуг глобальных конкурентоспособных несырьевых секторов, общая доля экспорта товаров (работ, услуг) которых составит не менее 20 процентов валового внутреннего продукта страны;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достижение объема экспорта (в стоимостном выражении) несырьевых неэнергетических товаров в размере 250 млрд. долларов США в год, в том числе продукции машиностроения - 50 млрд. долларов США в год и продукции агропромышленного комплекса - 45 млрд. долларов США в год, а также объема экспорта оказываемых услуг в размере 100 млрд. долларов США в год;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формирование эффективной системы разделения труда и производственной кооперации в рамках Евразийского экономического союза в целях увеличения объема торговли между государствами - членами Союза не менее чем в полтора раза и обеспечения роста объема накопленных взаимных инвестиций в полтора раза;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б) решение следующих задач: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 xml:space="preserve">ориентация промышленной, аграрной и торговой политики, включая применяемые механизмы </w:t>
      </w:r>
      <w:r>
        <w:lastRenderedPageBreak/>
        <w:t>государственной поддержки, на достижение международной конкурентоспособности российских товаров (работ, услуг) в целях обеспечения их присутствия на внешних рынках;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сокращение административных процедур и барьеров в сфере международной торговли, включая отмену избыточных требований при лицензировании экспорта и осуществлении валютного контроля, организация (к 2021 году) взаимодействия субъектов международной торговли с контролирующими органами по принципу "одного окна";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завершение создания гибкой линейки финансовых инструментов поддержки экспорта (к 2021 году), включая расширенное предэкспортное, экспортное и акционерное финансирование, лизинг и долгосрочные меры поддержки;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устранение логистических ограничений при экспорте товаров с использованием железнодорожного, автомобильного и морского транспорта, а также строительство (модернизация) пунктов пропуска через государственную границу Российской Федерации;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создание единой системы институтов продвижения экспорта, предусматривающей модернизацию торговых представительств Российской Федерации за рубежом;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завершение формирования в рамках Евразийского экономического союза общих рынков товаров, услуг, капитала и рабочей силы, включая окончательное устранение барьеров, ограничений и отмену изъятий в экономическом сотрудничестве, при одновременном активном использовании механизмов совместной проектной деятельности.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 xml:space="preserve">15. Правительству Российской Федерации на основе </w:t>
      </w:r>
      <w:hyperlink r:id="rId17">
        <w:r>
          <w:rPr>
            <w:color w:val="0000FF"/>
          </w:rPr>
          <w:t>стратегии</w:t>
        </w:r>
      </w:hyperlink>
      <w:r>
        <w:t xml:space="preserve"> пространственного развития Российской Федерации разработать с участием органов государственной власти субъектов Российской Федерации и до 1 октября 2018 г. утвердить комплексный </w:t>
      </w:r>
      <w:hyperlink r:id="rId18">
        <w:r>
          <w:rPr>
            <w:color w:val="0000FF"/>
          </w:rPr>
          <w:t>план</w:t>
        </w:r>
      </w:hyperlink>
      <w:r>
        <w:t xml:space="preserve"> модернизации и расширения магистральной инфраструктуры, предусматривающий обеспечение в 2024 году: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а) развития транспортных коридоров "Запад - Восток" и "Север - Юг" для перевозки грузов, в том числе за счет: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строительства и модернизации российских участков автомобильных дорог, относящихся к международному транспортному маршруту "Европа - Западный Китай";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увеличения мощностей морских портов Российской Федерации, включая порты Дальневосточного, Северо-Западного, Волго-Каспийского и Азово-Черноморского бассейнов;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развития Северного морского пути и увеличения грузопотока по нему до 80 млн. тонн;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сокращения времени перевозки контейнеров железнодорожным транспортом, в частности с Дальнего Востока до западной границы Российской Федерации до семи дней, и увеличения объема транзитных перевозок контейнеров железнодорожным транспортом в четыре раза;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формирования узловых грузовых мультимодальных транспортно-логистических центров;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увеличения пропускной способности Байкало-Амурской и Транссибирской железнодорожных магистралей в полтора раза, до 180 млн. тонн;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увеличения пропускной способности железнодорожных подходов к морским портам Азово-Черноморского бассейна;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б) повышения уровня экономической связанности территории Российской Федерации посредством расширения и модернизации железнодорожной, авиационной, автодорожной, морской и речной инфраструктуры, в том числе за счет: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поэтапного развития транспортных коммуникаций между административными центрами субъектов Российской Федерации и другими городами - центрами экономического роста, включая ликвидацию инфраструктурных ограничений на имеющих перспективы развития территориях, прилегающих к таким транспортным коммуникациям;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реконструкции инфраструктуры региональных аэропортов и расширения сети межрегиональных регулярных пассажирских авиационных маршрутов, минуя Москву, до 50 процентов от общего количества внутренних регулярных авиационных маршрутов;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lastRenderedPageBreak/>
        <w:t>создания основы для развития скоростного и высокоскоростного железнодорожного сообщения между крупными городами;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увеличения пропускной способности внутренних водных путей;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в) гарантированного обеспечения доступной электроэнергией, в том числе за счет: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электрификации транспортных коридоров "Запад - Восток" и "Север - Юг", включая Байкало-Амурскую и Транссибирскую железнодорожные магистрали, во взаимосвязи с развитием транспортной инфраструктуры;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развития централизованных энергосистем, включая модернизацию генерирующих мощностей тепловых, атомных и гидроэлектростанций в соответствии с потребностями социально-экономического развития;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устойчивого энергоснабжения потребителей на территориях субъектов Российской Федерации, прежде всего Республики Крым, г. Севастополя, Калининградской области, а также субъектов Российской Федерации, входящих в состав Дальневосточного федерального округа;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развития распределенной генерации, в том числе на основе возобновляемых источников энергии, в первую очередь в удаленных и изолированных энергорайонах;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внедрения интеллектуальных систем управления электросетевым хозяйством на базе цифровых технологий.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 xml:space="preserve">16. Утратил силу. - </w:t>
      </w:r>
      <w:hyperlink r:id="rId19">
        <w:r>
          <w:rPr>
            <w:color w:val="0000FF"/>
          </w:rPr>
          <w:t>Указ</w:t>
        </w:r>
      </w:hyperlink>
      <w:r>
        <w:t xml:space="preserve"> Президента РФ от 21.07.2020 N 474.</w:t>
      </w:r>
    </w:p>
    <w:p w:rsidR="002C13F5" w:rsidRDefault="002C13F5">
      <w:pPr>
        <w:pStyle w:val="ConsPlusNormal"/>
        <w:spacing w:before="200"/>
        <w:ind w:firstLine="540"/>
        <w:jc w:val="both"/>
      </w:pPr>
      <w:r>
        <w:t>17. Настоящий Указ вступает в силу со дня его официального опубликования.</w:t>
      </w:r>
    </w:p>
    <w:p w:rsidR="002C13F5" w:rsidRDefault="002C13F5">
      <w:pPr>
        <w:pStyle w:val="ConsPlusNormal"/>
        <w:jc w:val="both"/>
      </w:pPr>
    </w:p>
    <w:p w:rsidR="002C13F5" w:rsidRDefault="002C13F5">
      <w:pPr>
        <w:pStyle w:val="ConsPlusNormal"/>
        <w:jc w:val="right"/>
      </w:pPr>
      <w:r>
        <w:t>Президент</w:t>
      </w:r>
    </w:p>
    <w:p w:rsidR="002C13F5" w:rsidRDefault="002C13F5">
      <w:pPr>
        <w:pStyle w:val="ConsPlusNormal"/>
        <w:jc w:val="right"/>
      </w:pPr>
      <w:r>
        <w:t>Российской Федерации</w:t>
      </w:r>
    </w:p>
    <w:p w:rsidR="002C13F5" w:rsidRDefault="002C13F5">
      <w:pPr>
        <w:pStyle w:val="ConsPlusNormal"/>
        <w:jc w:val="right"/>
      </w:pPr>
      <w:r>
        <w:t>В.ПУТИН</w:t>
      </w:r>
    </w:p>
    <w:p w:rsidR="002C13F5" w:rsidRDefault="002C13F5">
      <w:pPr>
        <w:pStyle w:val="ConsPlusNormal"/>
      </w:pPr>
      <w:r>
        <w:t>Москва, Кремль</w:t>
      </w:r>
    </w:p>
    <w:p w:rsidR="002C13F5" w:rsidRDefault="002C13F5">
      <w:pPr>
        <w:pStyle w:val="ConsPlusNormal"/>
        <w:spacing w:before="200"/>
      </w:pPr>
      <w:r>
        <w:t>7 мая 2018 года</w:t>
      </w:r>
    </w:p>
    <w:p w:rsidR="002C13F5" w:rsidRDefault="002C13F5">
      <w:pPr>
        <w:pStyle w:val="ConsPlusNormal"/>
        <w:spacing w:before="200"/>
      </w:pPr>
      <w:r>
        <w:t>N 204</w:t>
      </w:r>
    </w:p>
    <w:p w:rsidR="002C13F5" w:rsidRDefault="002C13F5">
      <w:pPr>
        <w:pStyle w:val="ConsPlusNormal"/>
        <w:jc w:val="both"/>
      </w:pPr>
    </w:p>
    <w:p w:rsidR="002C13F5" w:rsidRDefault="002C13F5">
      <w:pPr>
        <w:pStyle w:val="ConsPlusNormal"/>
        <w:jc w:val="both"/>
      </w:pPr>
    </w:p>
    <w:p w:rsidR="002C13F5" w:rsidRDefault="002C13F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6509" w:rsidRDefault="00356509">
      <w:bookmarkStart w:id="1" w:name="_GoBack"/>
      <w:bookmarkEnd w:id="1"/>
    </w:p>
    <w:sectPr w:rsidR="00356509" w:rsidSect="00B63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F5"/>
    <w:rsid w:val="002C13F5"/>
    <w:rsid w:val="0035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0F1C9-0BDC-4CD1-8F6A-4114E9A3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3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C13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C13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F8CFC7CE327A720E89CF14CBFEE8B2C32706DA7D015D50FBF1646E58E03B4D9074CB351DAC0B1C03864920A94C67DA07D6F2D796FA573p2R4O" TargetMode="External"/><Relationship Id="rId13" Type="http://schemas.openxmlformats.org/officeDocument/2006/relationships/hyperlink" Target="consultantplus://offline/ref=6BFF8CFC7CE327A720E89CF14CBFEE8B2C3B7460A1D215D50FBF1646E58E03B4D9074CB351DAC0B0C63864920A94C67DA07D6F2D796FA573p2R4O" TargetMode="External"/><Relationship Id="rId18" Type="http://schemas.openxmlformats.org/officeDocument/2006/relationships/hyperlink" Target="consultantplus://offline/ref=6BFF8CFC7CE327A720E89CF14CBFEE8B2C327F62A4D115D50FBF1646E58E03B4D9074CB351DAC0B0C43864920A94C67DA07D6F2D796FA573p2R4O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BFF8CFC7CE327A720E89CF14CBFEE8B2C37706CA2D515D50FBF1646E58E03B4D9074CB351DAC0B4C03864920A94C67DA07D6F2D796FA573p2R4O" TargetMode="External"/><Relationship Id="rId12" Type="http://schemas.openxmlformats.org/officeDocument/2006/relationships/hyperlink" Target="consultantplus://offline/ref=6BFF8CFC7CE327A720E89CF14CBFEE8B2E367662A1D315D50FBF1646E58E03B4D9074CB351DAC1B3C13864920A94C67DA07D6F2D796FA573p2R4O" TargetMode="External"/><Relationship Id="rId17" Type="http://schemas.openxmlformats.org/officeDocument/2006/relationships/hyperlink" Target="consultantplus://offline/ref=6BFF8CFC7CE327A720E89CF14CBFEE8B2B307761A7DA15D50FBF1646E58E03B4D9074CB351DAC0B1CB3864920A94C67DA07D6F2D796FA573p2R4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BFF8CFC7CE327A720E89CF14CBFEE8B2C307F6DA5D615D50FBF1646E58E03B4CB0714BF53DFDEB1CA2D32C34CpCR3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FF8CFC7CE327A720E89CF14CBFEE8B2C37706CA2D515D50FBF1646E58E03B4D9074CB351DAC0B4C03864920A94C67DA07D6F2D796FA573p2R4O" TargetMode="External"/><Relationship Id="rId11" Type="http://schemas.openxmlformats.org/officeDocument/2006/relationships/hyperlink" Target="consultantplus://offline/ref=6BFF8CFC7CE327A720E89CF14CBFEE8B2C3B7664A6D715D50FBF1646E58E03B4D9074CB351DAC0B0C53864920A94C67DA07D6F2D796FA573p2R4O" TargetMode="External"/><Relationship Id="rId5" Type="http://schemas.openxmlformats.org/officeDocument/2006/relationships/hyperlink" Target="consultantplus://offline/ref=6BFF8CFC7CE327A720E89CF14CBFEE8B2C3B7664A6D715D50FBF1646E58E03B4D9074CB351DAC0B0C53864920A94C67DA07D6F2D796FA573p2R4O" TargetMode="External"/><Relationship Id="rId15" Type="http://schemas.openxmlformats.org/officeDocument/2006/relationships/hyperlink" Target="consultantplus://offline/ref=6BFF8CFC7CE327A720E89CF14CBFEE8B2D357F60A5D415D50FBF1646E58E03B4CB0714BF53DFDEB1CA2D32C34CpCR3O" TargetMode="External"/><Relationship Id="rId10" Type="http://schemas.openxmlformats.org/officeDocument/2006/relationships/hyperlink" Target="consultantplus://offline/ref=6BFF8CFC7CE327A720E89CF14CBFEE8B2C337767A5D315D50FBF1646E58E03B4D9074CB351DAC0B1C33864920A94C67DA07D6F2D796FA573p2R4O" TargetMode="External"/><Relationship Id="rId19" Type="http://schemas.openxmlformats.org/officeDocument/2006/relationships/hyperlink" Target="consultantplus://offline/ref=6BFF8CFC7CE327A720E89CF14CBFEE8B2C37706CA2D515D50FBF1646E58E03B4D9074CB351DAC0B4C03864920A94C67DA07D6F2D796FA573p2R4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BFF8CFC7CE327A720E89CF14CBFEE8B2C327F64A6D415D50FBF1646E58E03B4CB0714BF53DFDEB1CA2D32C34CpCR3O" TargetMode="External"/><Relationship Id="rId14" Type="http://schemas.openxmlformats.org/officeDocument/2006/relationships/hyperlink" Target="consultantplus://offline/ref=6BFF8CFC7CE327A720E89CF14CBFEE8B2B327E64A5D615D50FBF1646E58E03B4D9074CB351DAC0B1C53864920A94C67DA07D6F2D796FA573p2R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5252</Words>
  <Characters>29937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Столобкова Полина Александровна</dc:creator>
  <cp:keywords/>
  <dc:description/>
  <cp:lastModifiedBy>Столобкова Полина Александровна</cp:lastModifiedBy>
  <cp:revision>1</cp:revision>
  <dcterms:created xsi:type="dcterms:W3CDTF">2022-08-25T14:17:00Z</dcterms:created>
  <dcterms:modified xsi:type="dcterms:W3CDTF">2022-08-25T14:18:00Z</dcterms:modified>
</cp:coreProperties>
</file>